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C72A" w14:textId="74F5F55C" w:rsidR="00D92241" w:rsidRPr="00036A4D" w:rsidRDefault="001A3798" w:rsidP="001A3798">
      <w:pPr>
        <w:pStyle w:val="Titre1"/>
        <w:rPr>
          <w:rFonts w:asciiTheme="minorHAnsi" w:hAnsiTheme="minorHAnsi" w:cstheme="minorHAnsi"/>
          <w:b/>
          <w:bCs/>
        </w:rPr>
      </w:pPr>
      <w:r w:rsidRPr="00036A4D">
        <w:rPr>
          <w:rFonts w:asciiTheme="minorHAnsi" w:hAnsiTheme="minorHAnsi" w:cstheme="minorHAnsi"/>
          <w:b/>
          <w:bCs/>
        </w:rPr>
        <w:t>Fiche de mission coordinateur/coordinatrice de Réussir Ensemble</w:t>
      </w:r>
    </w:p>
    <w:p w14:paraId="0559FD01" w14:textId="0F734A86" w:rsidR="001A3798" w:rsidRPr="00036A4D" w:rsidRDefault="001A3798" w:rsidP="001A3798">
      <w:pPr>
        <w:rPr>
          <w:rFonts w:cstheme="minorHAnsi"/>
        </w:rPr>
      </w:pPr>
    </w:p>
    <w:p w14:paraId="50B2350A" w14:textId="7CA5B493" w:rsidR="004D322F" w:rsidRPr="00036A4D" w:rsidRDefault="001A3798" w:rsidP="001A3798">
      <w:pPr>
        <w:rPr>
          <w:rFonts w:cstheme="minorHAnsi"/>
        </w:rPr>
      </w:pPr>
      <w:r w:rsidRPr="00036A4D">
        <w:rPr>
          <w:rFonts w:cstheme="minorHAnsi"/>
        </w:rPr>
        <w:t xml:space="preserve">Mission temporaire sur 5 mois, à 80% </w:t>
      </w:r>
      <w:r w:rsidRPr="00036A4D">
        <w:rPr>
          <w:rFonts w:cstheme="minorHAnsi"/>
        </w:rPr>
        <w:br/>
        <w:t xml:space="preserve">Entretiens prévus le 11 août 2022 après-midi. </w:t>
      </w:r>
      <w:r w:rsidRPr="00036A4D">
        <w:rPr>
          <w:rFonts w:cstheme="minorHAnsi"/>
        </w:rPr>
        <w:br/>
        <w:t xml:space="preserve">Réponse avant le </w:t>
      </w:r>
      <w:r w:rsidR="00A27AD5">
        <w:rPr>
          <w:rFonts w:cstheme="minorHAnsi"/>
        </w:rPr>
        <w:t>8 août</w:t>
      </w:r>
      <w:r w:rsidR="00036A4D">
        <w:rPr>
          <w:rFonts w:cstheme="minorHAnsi"/>
        </w:rPr>
        <w:t xml:space="preserve"> à recrutement@garantie-jeunes.fr</w:t>
      </w:r>
      <w:r w:rsidRPr="00036A4D">
        <w:rPr>
          <w:rFonts w:cstheme="minorHAnsi"/>
        </w:rPr>
        <w:t xml:space="preserve"> </w:t>
      </w:r>
      <w:r w:rsidRPr="00036A4D">
        <w:rPr>
          <w:rFonts w:cstheme="minorHAnsi"/>
        </w:rPr>
        <w:br/>
        <w:t xml:space="preserve">Rémunération selon CCN des Missions Locales : </w:t>
      </w:r>
      <w:r w:rsidR="00B62A9F" w:rsidRPr="00036A4D">
        <w:rPr>
          <w:rFonts w:cstheme="minorHAnsi"/>
        </w:rPr>
        <w:t>cotation 15, indice 548</w:t>
      </w:r>
      <w:r w:rsidR="00036A4D" w:rsidRPr="00036A4D">
        <w:rPr>
          <w:rFonts w:cstheme="minorHAnsi"/>
        </w:rPr>
        <w:t xml:space="preserve"> (emploi repère responsable de secteur)</w:t>
      </w:r>
      <w:r w:rsidR="00DB279B">
        <w:rPr>
          <w:rFonts w:cstheme="minorHAnsi"/>
        </w:rPr>
        <w:t xml:space="preserve"> : </w:t>
      </w:r>
      <w:r w:rsidR="00DB279B" w:rsidRPr="00DB279B">
        <w:rPr>
          <w:rFonts w:cstheme="minorHAnsi"/>
        </w:rPr>
        <w:t xml:space="preserve">2537,24€ </w:t>
      </w:r>
      <w:r w:rsidR="00DB279B">
        <w:rPr>
          <w:rFonts w:cstheme="minorHAnsi"/>
        </w:rPr>
        <w:t>b</w:t>
      </w:r>
      <w:r w:rsidR="00DB279B" w:rsidRPr="00DB279B">
        <w:rPr>
          <w:rFonts w:cstheme="minorHAnsi"/>
        </w:rPr>
        <w:t>rut pour un ETP</w:t>
      </w:r>
    </w:p>
    <w:p w14:paraId="74E8B086" w14:textId="629A3FE5" w:rsidR="00036A4D" w:rsidRPr="00036A4D" w:rsidRDefault="00036A4D" w:rsidP="001A3798">
      <w:pPr>
        <w:rPr>
          <w:rFonts w:cstheme="minorHAnsi"/>
          <w:b/>
          <w:bCs/>
          <w:sz w:val="24"/>
          <w:szCs w:val="24"/>
        </w:rPr>
      </w:pPr>
      <w:r w:rsidRPr="00036A4D">
        <w:rPr>
          <w:rFonts w:cstheme="minorHAnsi"/>
          <w:b/>
          <w:bCs/>
          <w:sz w:val="24"/>
          <w:szCs w:val="24"/>
        </w:rPr>
        <w:t xml:space="preserve">Missions : </w:t>
      </w:r>
    </w:p>
    <w:p w14:paraId="7D8827D9" w14:textId="77777777" w:rsidR="004D322F" w:rsidRPr="00036A4D" w:rsidRDefault="004D322F" w:rsidP="00833A86">
      <w:pPr>
        <w:spacing w:after="0"/>
        <w:rPr>
          <w:rFonts w:cstheme="minorHAnsi"/>
          <w:b/>
          <w:bCs/>
        </w:rPr>
      </w:pPr>
      <w:r w:rsidRPr="00036A4D">
        <w:rPr>
          <w:rFonts w:cstheme="minorHAnsi"/>
          <w:b/>
          <w:bCs/>
        </w:rPr>
        <w:t>Axe partenarial</w:t>
      </w:r>
    </w:p>
    <w:p w14:paraId="6B6DAF35" w14:textId="53DBF4BE" w:rsidR="004D322F" w:rsidRPr="00036A4D" w:rsidRDefault="004D322F" w:rsidP="00183AEB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036A4D">
        <w:rPr>
          <w:rFonts w:cstheme="minorHAnsi"/>
          <w:color w:val="4472C4" w:themeColor="accent1"/>
        </w:rPr>
        <w:t>Représenter la structure dans le cadre stratégique</w:t>
      </w:r>
      <w:r w:rsidR="002B268F" w:rsidRPr="00036A4D">
        <w:rPr>
          <w:rFonts w:cstheme="minorHAnsi"/>
          <w:color w:val="4472C4" w:themeColor="accent1"/>
        </w:rPr>
        <w:t> </w:t>
      </w:r>
      <w:r w:rsidR="002B268F" w:rsidRPr="00036A4D">
        <w:rPr>
          <w:rFonts w:cstheme="minorHAnsi"/>
        </w:rPr>
        <w:t xml:space="preserve">: </w:t>
      </w:r>
      <w:r w:rsidR="002B268F" w:rsidRPr="00036A4D">
        <w:rPr>
          <w:rFonts w:cstheme="minorHAnsi"/>
          <w:szCs w:val="24"/>
        </w:rPr>
        <w:t>la représentation de l’association sur des instances techniques ou institutionnelles du territoire</w:t>
      </w:r>
    </w:p>
    <w:p w14:paraId="69E77C5D" w14:textId="3C0383C0" w:rsidR="004D322F" w:rsidRPr="00036A4D" w:rsidRDefault="004D322F" w:rsidP="00183AEB">
      <w:pPr>
        <w:pStyle w:val="Paragraphedeliste"/>
        <w:numPr>
          <w:ilvl w:val="0"/>
          <w:numId w:val="1"/>
        </w:numPr>
        <w:spacing w:after="0"/>
        <w:rPr>
          <w:rFonts w:cstheme="minorHAnsi"/>
          <w:color w:val="4472C4" w:themeColor="accent1"/>
        </w:rPr>
      </w:pPr>
      <w:r w:rsidRPr="00036A4D">
        <w:rPr>
          <w:rFonts w:cstheme="minorHAnsi"/>
          <w:color w:val="4472C4" w:themeColor="accent1"/>
        </w:rPr>
        <w:t>Représenter la structure en apportant une contribution technique</w:t>
      </w:r>
    </w:p>
    <w:p w14:paraId="3337BB07" w14:textId="0DF8B8AE" w:rsidR="006650A6" w:rsidRPr="00036A4D" w:rsidRDefault="004D322F" w:rsidP="00183AE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2"/>
        <w:jc w:val="both"/>
        <w:rPr>
          <w:rFonts w:cstheme="minorHAnsi"/>
          <w:szCs w:val="24"/>
        </w:rPr>
      </w:pPr>
      <w:r w:rsidRPr="00036A4D">
        <w:rPr>
          <w:rFonts w:cstheme="minorHAnsi"/>
          <w:color w:val="4472C4" w:themeColor="accent1"/>
        </w:rPr>
        <w:t>Construire, développer un réseau de partenaires</w:t>
      </w:r>
      <w:r w:rsidR="006650A6" w:rsidRPr="00036A4D">
        <w:rPr>
          <w:rFonts w:cstheme="minorHAnsi"/>
          <w:color w:val="4472C4" w:themeColor="accent1"/>
        </w:rPr>
        <w:t> </w:t>
      </w:r>
      <w:r w:rsidR="006650A6" w:rsidRPr="00036A4D">
        <w:rPr>
          <w:rFonts w:cstheme="minorHAnsi"/>
        </w:rPr>
        <w:t xml:space="preserve">: </w:t>
      </w:r>
      <w:r w:rsidR="006650A6" w:rsidRPr="00036A4D">
        <w:rPr>
          <w:rFonts w:cstheme="minorHAnsi"/>
          <w:szCs w:val="24"/>
        </w:rPr>
        <w:t>le développement d'un partenariat privilégié.</w:t>
      </w:r>
    </w:p>
    <w:p w14:paraId="7FFF216A" w14:textId="1786B316" w:rsidR="004D322F" w:rsidRPr="00036A4D" w:rsidRDefault="004D322F" w:rsidP="00183AEB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036A4D">
        <w:rPr>
          <w:rFonts w:cstheme="minorHAnsi"/>
          <w:color w:val="4472C4" w:themeColor="accent1"/>
        </w:rPr>
        <w:t>Négocier</w:t>
      </w:r>
      <w:r w:rsidR="006650A6" w:rsidRPr="00036A4D">
        <w:rPr>
          <w:rFonts w:cstheme="minorHAnsi"/>
        </w:rPr>
        <w:t xml:space="preserve"> : </w:t>
      </w:r>
      <w:r w:rsidR="006650A6" w:rsidRPr="00036A4D">
        <w:rPr>
          <w:rFonts w:cstheme="minorHAnsi"/>
          <w:szCs w:val="24"/>
        </w:rPr>
        <w:t>Négocier avec les partenaires et intervenants.</w:t>
      </w:r>
    </w:p>
    <w:p w14:paraId="224D5C0B" w14:textId="77777777" w:rsidR="00833A86" w:rsidRPr="00036A4D" w:rsidRDefault="00833A86" w:rsidP="00833A86">
      <w:pPr>
        <w:spacing w:after="0"/>
        <w:rPr>
          <w:rFonts w:cstheme="minorHAnsi"/>
        </w:rPr>
      </w:pPr>
    </w:p>
    <w:p w14:paraId="3539B963" w14:textId="77777777" w:rsidR="004D322F" w:rsidRPr="00036A4D" w:rsidRDefault="004D322F" w:rsidP="00833A86">
      <w:pPr>
        <w:spacing w:after="0"/>
        <w:rPr>
          <w:rFonts w:cstheme="minorHAnsi"/>
          <w:b/>
          <w:bCs/>
        </w:rPr>
      </w:pPr>
      <w:r w:rsidRPr="00036A4D">
        <w:rPr>
          <w:rFonts w:cstheme="minorHAnsi"/>
          <w:b/>
          <w:bCs/>
        </w:rPr>
        <w:t>Axe technique</w:t>
      </w:r>
    </w:p>
    <w:p w14:paraId="64440BCA" w14:textId="274830C0" w:rsidR="00833A86" w:rsidRPr="00036A4D" w:rsidRDefault="004D322F" w:rsidP="00183AE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32"/>
        <w:jc w:val="both"/>
        <w:rPr>
          <w:rFonts w:cstheme="minorHAnsi"/>
          <w:szCs w:val="24"/>
        </w:rPr>
      </w:pPr>
      <w:r w:rsidRPr="00036A4D">
        <w:rPr>
          <w:rFonts w:cstheme="minorHAnsi"/>
          <w:color w:val="4472C4" w:themeColor="accent1"/>
        </w:rPr>
        <w:t>Organiser des réunions techniques internes et externes</w:t>
      </w:r>
      <w:r w:rsidR="00833A86" w:rsidRPr="00036A4D">
        <w:rPr>
          <w:rFonts w:cstheme="minorHAnsi"/>
        </w:rPr>
        <w:t xml:space="preserve"> : </w:t>
      </w:r>
      <w:r w:rsidR="00833A86" w:rsidRPr="00036A4D">
        <w:rPr>
          <w:rFonts w:cstheme="minorHAnsi"/>
          <w:szCs w:val="24"/>
        </w:rPr>
        <w:t>Animer les réunions techniques.</w:t>
      </w:r>
    </w:p>
    <w:p w14:paraId="740CF2FF" w14:textId="40BCF54A" w:rsidR="002B268F" w:rsidRPr="00036A4D" w:rsidRDefault="004D322F" w:rsidP="00183AE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32"/>
        <w:jc w:val="both"/>
        <w:rPr>
          <w:rFonts w:cstheme="minorHAnsi"/>
          <w:szCs w:val="24"/>
        </w:rPr>
      </w:pPr>
      <w:r w:rsidRPr="00036A4D">
        <w:rPr>
          <w:rFonts w:cstheme="minorHAnsi"/>
          <w:color w:val="4472C4" w:themeColor="accent1"/>
        </w:rPr>
        <w:t>Outiller l’activité d’insertion</w:t>
      </w:r>
      <w:r w:rsidR="00833A86" w:rsidRPr="00036A4D">
        <w:rPr>
          <w:rFonts w:cstheme="minorHAnsi"/>
        </w:rPr>
        <w:t xml:space="preserve"> : </w:t>
      </w:r>
      <w:r w:rsidR="00833A86" w:rsidRPr="00036A4D">
        <w:rPr>
          <w:rFonts w:cstheme="minorHAnsi"/>
          <w:szCs w:val="24"/>
        </w:rPr>
        <w:t xml:space="preserve">l’organisation fonctionnelle et pilotage de l’offre de service du dispositif </w:t>
      </w:r>
      <w:r w:rsidR="006650A6" w:rsidRPr="00036A4D">
        <w:rPr>
          <w:rFonts w:cstheme="minorHAnsi"/>
          <w:szCs w:val="24"/>
        </w:rPr>
        <w:t>CEJ</w:t>
      </w:r>
      <w:r w:rsidR="002B268F" w:rsidRPr="00036A4D">
        <w:rPr>
          <w:rFonts w:cstheme="minorHAnsi"/>
          <w:szCs w:val="24"/>
        </w:rPr>
        <w:t>, la mise en œuvre de la politique définie par le Conseil d'Administration de l’association.</w:t>
      </w:r>
    </w:p>
    <w:p w14:paraId="2D8CFF35" w14:textId="2FD31454" w:rsidR="00833A86" w:rsidRPr="00036A4D" w:rsidRDefault="00833A86" w:rsidP="00833A86">
      <w:pPr>
        <w:widowControl w:val="0"/>
        <w:autoSpaceDE w:val="0"/>
        <w:autoSpaceDN w:val="0"/>
        <w:adjustRightInd w:val="0"/>
        <w:spacing w:after="0" w:line="240" w:lineRule="auto"/>
        <w:ind w:right="-232"/>
        <w:jc w:val="both"/>
        <w:rPr>
          <w:rFonts w:cstheme="minorHAnsi"/>
          <w:szCs w:val="24"/>
        </w:rPr>
      </w:pPr>
    </w:p>
    <w:p w14:paraId="36AD4927" w14:textId="77777777" w:rsidR="004D322F" w:rsidRPr="00036A4D" w:rsidRDefault="004D322F" w:rsidP="00833A86">
      <w:pPr>
        <w:spacing w:after="0"/>
        <w:rPr>
          <w:rFonts w:cstheme="minorHAnsi"/>
          <w:b/>
          <w:bCs/>
        </w:rPr>
      </w:pPr>
      <w:r w:rsidRPr="00036A4D">
        <w:rPr>
          <w:rFonts w:cstheme="minorHAnsi"/>
          <w:b/>
          <w:bCs/>
        </w:rPr>
        <w:t>Axe ingénierie de projets</w:t>
      </w:r>
    </w:p>
    <w:p w14:paraId="63154951" w14:textId="4B23B5C8" w:rsidR="006650A6" w:rsidRPr="00036A4D" w:rsidRDefault="004D322F" w:rsidP="00183AEB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32"/>
        <w:jc w:val="both"/>
        <w:rPr>
          <w:rFonts w:cstheme="minorHAnsi"/>
          <w:szCs w:val="24"/>
        </w:rPr>
      </w:pPr>
      <w:r w:rsidRPr="00036A4D">
        <w:rPr>
          <w:rFonts w:cstheme="minorHAnsi"/>
          <w:color w:val="4472C4" w:themeColor="accent1"/>
        </w:rPr>
        <w:t>Elaborer des projets de changements, piloter des projets institutionnels</w:t>
      </w:r>
      <w:r w:rsidR="00833A86" w:rsidRPr="00036A4D">
        <w:rPr>
          <w:rFonts w:cstheme="minorHAnsi"/>
          <w:color w:val="4472C4" w:themeColor="accent1"/>
        </w:rPr>
        <w:t> </w:t>
      </w:r>
      <w:r w:rsidR="00833A86" w:rsidRPr="00036A4D">
        <w:rPr>
          <w:rFonts w:cstheme="minorHAnsi"/>
        </w:rPr>
        <w:t xml:space="preserve">: </w:t>
      </w:r>
      <w:r w:rsidR="00833A86" w:rsidRPr="00036A4D">
        <w:rPr>
          <w:rFonts w:cstheme="minorHAnsi"/>
          <w:szCs w:val="24"/>
        </w:rPr>
        <w:t>le pilotage de l’activité technique et partenarial</w:t>
      </w:r>
      <w:r w:rsidR="002B268F" w:rsidRPr="00036A4D">
        <w:rPr>
          <w:rFonts w:cstheme="minorHAnsi"/>
          <w:szCs w:val="24"/>
        </w:rPr>
        <w:t>, le pilotage des actions en cours et à venir avec les partenaires du territoire, la coordination des actions et projets développés avec l’équipe</w:t>
      </w:r>
      <w:r w:rsidR="006650A6" w:rsidRPr="00036A4D">
        <w:rPr>
          <w:rFonts w:cstheme="minorHAnsi"/>
          <w:szCs w:val="24"/>
        </w:rPr>
        <w:t>, le montage et le pilotage d’actions spécifiques liées au dispositif CEJ, le montage de projet, suivi, évaluation, bilan, Assurer le suivi financier en lien avec la comptable et les Directeurs.</w:t>
      </w:r>
    </w:p>
    <w:p w14:paraId="4B0CB017" w14:textId="77777777" w:rsidR="00833A86" w:rsidRPr="00036A4D" w:rsidRDefault="00833A86" w:rsidP="00833A86">
      <w:pPr>
        <w:spacing w:after="0"/>
        <w:rPr>
          <w:rFonts w:cstheme="minorHAnsi"/>
        </w:rPr>
      </w:pPr>
    </w:p>
    <w:p w14:paraId="20F4C8ED" w14:textId="77777777" w:rsidR="004D322F" w:rsidRPr="00036A4D" w:rsidRDefault="004D322F" w:rsidP="00833A86">
      <w:pPr>
        <w:spacing w:after="0"/>
        <w:rPr>
          <w:rFonts w:cstheme="minorHAnsi"/>
          <w:b/>
          <w:bCs/>
        </w:rPr>
      </w:pPr>
      <w:r w:rsidRPr="00036A4D">
        <w:rPr>
          <w:rFonts w:cstheme="minorHAnsi"/>
          <w:b/>
          <w:bCs/>
        </w:rPr>
        <w:t>Axe stratégique</w:t>
      </w:r>
    </w:p>
    <w:p w14:paraId="69CCF959" w14:textId="61CB91D1" w:rsidR="004D322F" w:rsidRPr="00036A4D" w:rsidRDefault="004D322F" w:rsidP="00183AEB">
      <w:pPr>
        <w:pStyle w:val="Paragraphedeliste"/>
        <w:numPr>
          <w:ilvl w:val="0"/>
          <w:numId w:val="3"/>
        </w:numPr>
        <w:spacing w:after="0"/>
        <w:rPr>
          <w:rFonts w:cstheme="minorHAnsi"/>
          <w:color w:val="4472C4" w:themeColor="accent1"/>
        </w:rPr>
      </w:pPr>
      <w:r w:rsidRPr="00036A4D">
        <w:rPr>
          <w:rFonts w:cstheme="minorHAnsi"/>
          <w:color w:val="4472C4" w:themeColor="accent1"/>
        </w:rPr>
        <w:t>Proposer des orientations</w:t>
      </w:r>
    </w:p>
    <w:p w14:paraId="743CD235" w14:textId="77777777" w:rsidR="00833A86" w:rsidRPr="00036A4D" w:rsidRDefault="00833A86" w:rsidP="00833A86">
      <w:pPr>
        <w:spacing w:after="0"/>
        <w:rPr>
          <w:rFonts w:cstheme="minorHAnsi"/>
        </w:rPr>
      </w:pPr>
    </w:p>
    <w:p w14:paraId="050AE8AF" w14:textId="77777777" w:rsidR="004D322F" w:rsidRPr="00036A4D" w:rsidRDefault="004D322F" w:rsidP="00833A86">
      <w:pPr>
        <w:spacing w:after="0"/>
        <w:rPr>
          <w:rFonts w:cstheme="minorHAnsi"/>
          <w:b/>
          <w:bCs/>
        </w:rPr>
      </w:pPr>
      <w:r w:rsidRPr="00036A4D">
        <w:rPr>
          <w:rFonts w:cstheme="minorHAnsi"/>
          <w:b/>
          <w:bCs/>
        </w:rPr>
        <w:t>Axe managérial</w:t>
      </w:r>
    </w:p>
    <w:p w14:paraId="0E8D374D" w14:textId="59909C55" w:rsidR="004D322F" w:rsidRPr="00036A4D" w:rsidRDefault="004D322F" w:rsidP="00183AEB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036A4D">
        <w:rPr>
          <w:rFonts w:cstheme="minorHAnsi"/>
          <w:color w:val="4472C4" w:themeColor="accent1"/>
        </w:rPr>
        <w:t>Animer et coordonner une équipe</w:t>
      </w:r>
      <w:r w:rsidR="00833A86" w:rsidRPr="00036A4D">
        <w:rPr>
          <w:rFonts w:cstheme="minorHAnsi"/>
          <w:color w:val="4472C4" w:themeColor="accent1"/>
        </w:rPr>
        <w:t> </w:t>
      </w:r>
      <w:r w:rsidR="00833A86" w:rsidRPr="00036A4D">
        <w:rPr>
          <w:rFonts w:cstheme="minorHAnsi"/>
        </w:rPr>
        <w:t>: l’encadrement d'une équipe (composée notamment de conseillers et de chargés d'accueil, la gestion administrative, fonctionnelle, juridique et conventionnelle.)</w:t>
      </w:r>
    </w:p>
    <w:p w14:paraId="60DD753B" w14:textId="0594617E" w:rsidR="004D322F" w:rsidRPr="00036A4D" w:rsidRDefault="004D322F" w:rsidP="00183AEB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036A4D">
        <w:rPr>
          <w:rFonts w:cstheme="minorHAnsi"/>
          <w:color w:val="4472C4" w:themeColor="accent1"/>
        </w:rPr>
        <w:t>Accompagner l’évolution professionnelle des salariés</w:t>
      </w:r>
      <w:r w:rsidR="006650A6" w:rsidRPr="00036A4D">
        <w:rPr>
          <w:rFonts w:cstheme="minorHAnsi"/>
          <w:color w:val="4472C4" w:themeColor="accent1"/>
        </w:rPr>
        <w:t> </w:t>
      </w:r>
      <w:r w:rsidR="006650A6" w:rsidRPr="00036A4D">
        <w:rPr>
          <w:rFonts w:cstheme="minorHAnsi"/>
        </w:rPr>
        <w:t xml:space="preserve">: </w:t>
      </w:r>
      <w:r w:rsidR="006650A6" w:rsidRPr="00036A4D">
        <w:rPr>
          <w:rFonts w:cstheme="minorHAnsi"/>
          <w:szCs w:val="24"/>
        </w:rPr>
        <w:t>Evaluer le personnel</w:t>
      </w:r>
    </w:p>
    <w:p w14:paraId="63D5457F" w14:textId="77777777" w:rsidR="00833A86" w:rsidRPr="00036A4D" w:rsidRDefault="00833A86" w:rsidP="00833A86">
      <w:pPr>
        <w:spacing w:after="0"/>
        <w:rPr>
          <w:rFonts w:cstheme="minorHAnsi"/>
        </w:rPr>
      </w:pPr>
    </w:p>
    <w:p w14:paraId="063ACE2B" w14:textId="77777777" w:rsidR="004D322F" w:rsidRPr="00036A4D" w:rsidRDefault="004D322F" w:rsidP="00833A86">
      <w:pPr>
        <w:spacing w:after="0"/>
        <w:rPr>
          <w:rFonts w:cstheme="minorHAnsi"/>
          <w:b/>
          <w:bCs/>
        </w:rPr>
      </w:pPr>
      <w:r w:rsidRPr="00036A4D">
        <w:rPr>
          <w:rFonts w:cstheme="minorHAnsi"/>
          <w:b/>
          <w:bCs/>
        </w:rPr>
        <w:t>Axe communication</w:t>
      </w:r>
    </w:p>
    <w:p w14:paraId="365010AF" w14:textId="426363E7" w:rsidR="001A3798" w:rsidRPr="00036A4D" w:rsidRDefault="004D322F" w:rsidP="00183AEB">
      <w:pPr>
        <w:pStyle w:val="Paragraphedeliste"/>
        <w:numPr>
          <w:ilvl w:val="0"/>
          <w:numId w:val="4"/>
        </w:numPr>
        <w:spacing w:after="0"/>
        <w:rPr>
          <w:rFonts w:cstheme="minorHAnsi"/>
        </w:rPr>
      </w:pPr>
      <w:r w:rsidRPr="00036A4D">
        <w:rPr>
          <w:rFonts w:cstheme="minorHAnsi"/>
          <w:color w:val="4472C4" w:themeColor="accent1"/>
        </w:rPr>
        <w:t>Participer à l’élaboration de supports de communication</w:t>
      </w:r>
      <w:r w:rsidR="001A3798" w:rsidRPr="00036A4D">
        <w:rPr>
          <w:rFonts w:cstheme="minorHAnsi"/>
        </w:rPr>
        <w:br/>
      </w:r>
      <w:r w:rsidR="006650A6" w:rsidRPr="00036A4D">
        <w:rPr>
          <w:rFonts w:cstheme="minorHAnsi"/>
          <w:szCs w:val="24"/>
        </w:rPr>
        <w:t>Préparer les Bureau, Conseil d'Administration et Assemblée Générale et faire les comptes-rendus</w:t>
      </w:r>
    </w:p>
    <w:p w14:paraId="53FBDEE0" w14:textId="77777777" w:rsidR="001A3798" w:rsidRDefault="001A3798"/>
    <w:sectPr w:rsidR="001A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1C9A"/>
    <w:multiLevelType w:val="hybridMultilevel"/>
    <w:tmpl w:val="E102B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2809"/>
    <w:multiLevelType w:val="hybridMultilevel"/>
    <w:tmpl w:val="1234A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00F3F"/>
    <w:multiLevelType w:val="hybridMultilevel"/>
    <w:tmpl w:val="01EC375A"/>
    <w:lvl w:ilvl="0" w:tplc="DDD2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B0D01"/>
    <w:multiLevelType w:val="hybridMultilevel"/>
    <w:tmpl w:val="49944A5C"/>
    <w:lvl w:ilvl="0" w:tplc="1DA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268447">
    <w:abstractNumId w:val="3"/>
  </w:num>
  <w:num w:numId="2" w16cid:durableId="403381520">
    <w:abstractNumId w:val="1"/>
  </w:num>
  <w:num w:numId="3" w16cid:durableId="1350522397">
    <w:abstractNumId w:val="2"/>
  </w:num>
  <w:num w:numId="4" w16cid:durableId="7646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98"/>
    <w:rsid w:val="00036A4D"/>
    <w:rsid w:val="00183AEB"/>
    <w:rsid w:val="001A3798"/>
    <w:rsid w:val="001A37AA"/>
    <w:rsid w:val="002B268F"/>
    <w:rsid w:val="004D322F"/>
    <w:rsid w:val="005B5765"/>
    <w:rsid w:val="006650A6"/>
    <w:rsid w:val="00670378"/>
    <w:rsid w:val="00833A86"/>
    <w:rsid w:val="00A27AD5"/>
    <w:rsid w:val="00B62A9F"/>
    <w:rsid w:val="00D2696D"/>
    <w:rsid w:val="00DB279B"/>
    <w:rsid w:val="00E5484D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D1D3"/>
  <w15:chartTrackingRefBased/>
  <w15:docId w15:val="{3F039A1B-4985-4DC0-8040-C098F4B3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3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3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8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3880-0D8A-47CB-9BA8-37E2A83F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Boissezon</dc:creator>
  <cp:keywords/>
  <dc:description/>
  <cp:lastModifiedBy>Blandine Boissezon</cp:lastModifiedBy>
  <cp:revision>4</cp:revision>
  <cp:lastPrinted>2022-06-23T13:46:00Z</cp:lastPrinted>
  <dcterms:created xsi:type="dcterms:W3CDTF">2022-06-27T12:56:00Z</dcterms:created>
  <dcterms:modified xsi:type="dcterms:W3CDTF">2022-07-19T13:59:00Z</dcterms:modified>
</cp:coreProperties>
</file>