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B404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>Animateur(</w:t>
      </w:r>
      <w:proofErr w:type="spellStart"/>
      <w:r>
        <w:rPr>
          <w:rFonts w:ascii="Times-Bold" w:hAnsi="Times-Bold" w:cs="Times-Bold"/>
          <w:b/>
          <w:bCs/>
          <w:sz w:val="36"/>
          <w:szCs w:val="36"/>
        </w:rPr>
        <w:t>trice</w:t>
      </w:r>
      <w:proofErr w:type="spellEnd"/>
      <w:r>
        <w:rPr>
          <w:rFonts w:ascii="Times-Bold" w:hAnsi="Times-Bold" w:cs="Times-Bold"/>
          <w:b/>
          <w:bCs/>
          <w:sz w:val="36"/>
          <w:szCs w:val="36"/>
        </w:rPr>
        <w:t>) socioculturel(le)</w:t>
      </w:r>
    </w:p>
    <w:p w14:paraId="1FA5DF50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>(Animation, Formation et Médiation numérique)</w:t>
      </w:r>
    </w:p>
    <w:p w14:paraId="631F2F44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14:paraId="49FD76CA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14:paraId="3974BC15" w14:textId="461C628C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Contexte :</w:t>
      </w:r>
    </w:p>
    <w:p w14:paraId="4E603810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 MJC Centre social du Pays de l’Herbasse, à travers l’application de son projet, est engagée</w:t>
      </w:r>
    </w:p>
    <w:p w14:paraId="5C538DC2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à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la fois :</w:t>
      </w:r>
    </w:p>
    <w:p w14:paraId="16B7506E" w14:textId="57984A20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Dans le service aux personnes (Pont Info Jeunesse, tiers lieux, Espace Public Numérique,</w:t>
      </w:r>
      <w:r w:rsidR="002F6B1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permanences d’écrivain public, etc…),</w:t>
      </w:r>
    </w:p>
    <w:p w14:paraId="28084255" w14:textId="7BD19C5F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Dans une volonté de mettre en place des actions spécifiques en direction du public 16-25 ans,</w:t>
      </w:r>
      <w:r w:rsidR="002F6B1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public sénior et public en fragilité.</w:t>
      </w:r>
    </w:p>
    <w:p w14:paraId="5FE57EF5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Dans des missions de formation.</w:t>
      </w:r>
    </w:p>
    <w:p w14:paraId="0244732B" w14:textId="4CEB94BD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Dans un travail de partenariat avec les établissements scolaires du territoire.</w:t>
      </w:r>
    </w:p>
    <w:p w14:paraId="04B5FBE4" w14:textId="77777777" w:rsidR="002F6B15" w:rsidRDefault="002F6B15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D306EED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14:paraId="1702FD42" w14:textId="0FE5C7D8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Caractéristique du poste :</w:t>
      </w:r>
    </w:p>
    <w:p w14:paraId="68BA8F23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Contrat à Durée Indéterminée</w:t>
      </w:r>
    </w:p>
    <w:p w14:paraId="58123177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Poste à temps complet (35H)</w:t>
      </w:r>
    </w:p>
    <w:p w14:paraId="4D0096D2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Horaires s’étalant du lundi au samedi</w:t>
      </w:r>
    </w:p>
    <w:p w14:paraId="5A6EEBF9" w14:textId="6C210748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Horaires aménagés de manières différentes sur les périodes de vacances scolaires et/ou en</w:t>
      </w:r>
      <w:r w:rsidR="002F6B1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fonction des actions menées.</w:t>
      </w:r>
    </w:p>
    <w:p w14:paraId="448BC0C1" w14:textId="77777777" w:rsidR="002F6B15" w:rsidRDefault="002F6B15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0EB59ED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14:paraId="6C5F9056" w14:textId="436ABD42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Rémunération :</w:t>
      </w:r>
    </w:p>
    <w:p w14:paraId="29312E20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Groupe D convention collective ASSC 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( </w:t>
      </w:r>
      <w:proofErr w:type="spellStart"/>
      <w:r>
        <w:rPr>
          <w:rFonts w:ascii="Times-Roman" w:hAnsi="Times-Roman" w:cs="Times-Roman"/>
          <w:sz w:val="24"/>
          <w:szCs w:val="24"/>
        </w:rPr>
        <w:t>ind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306/ 1910 €)</w:t>
      </w:r>
    </w:p>
    <w:p w14:paraId="5EC35744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Prise en charge mutuelle à 100% par l’employeur</w:t>
      </w:r>
    </w:p>
    <w:p w14:paraId="06F7BD26" w14:textId="45D0016E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pourvoir au </w:t>
      </w:r>
      <w:r w:rsidR="002F6B15">
        <w:rPr>
          <w:rFonts w:ascii="Times-Roman" w:hAnsi="Times-Roman" w:cs="Times-Roman"/>
          <w:sz w:val="24"/>
          <w:szCs w:val="24"/>
        </w:rPr>
        <w:t>1 septembre 2021</w:t>
      </w:r>
    </w:p>
    <w:p w14:paraId="7AD7CAC9" w14:textId="77777777" w:rsidR="002F6B15" w:rsidRDefault="002F6B15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6BCC8A8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14:paraId="69200E6E" w14:textId="218B4402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Profil attendu :</w:t>
      </w:r>
    </w:p>
    <w:p w14:paraId="0DD67193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L’animateur(</w:t>
      </w:r>
      <w:proofErr w:type="spellStart"/>
      <w:r>
        <w:rPr>
          <w:rFonts w:ascii="Times-Roman" w:hAnsi="Times-Roman" w:cs="Times-Roman"/>
          <w:sz w:val="24"/>
          <w:szCs w:val="24"/>
        </w:rPr>
        <w:t>trice</w:t>
      </w:r>
      <w:proofErr w:type="spellEnd"/>
      <w:r>
        <w:rPr>
          <w:rFonts w:ascii="Times-Roman" w:hAnsi="Times-Roman" w:cs="Times-Roman"/>
          <w:sz w:val="24"/>
          <w:szCs w:val="24"/>
        </w:rPr>
        <w:t>) devra justifier d’expérience d’animation en direction de différents publics.</w:t>
      </w:r>
    </w:p>
    <w:p w14:paraId="1AE6636A" w14:textId="5A5F1413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Justifier d’expérience de formateur(</w:t>
      </w:r>
      <w:proofErr w:type="spellStart"/>
      <w:r>
        <w:rPr>
          <w:rFonts w:ascii="Times-Roman" w:hAnsi="Times-Roman" w:cs="Times-Roman"/>
          <w:sz w:val="24"/>
          <w:szCs w:val="24"/>
        </w:rPr>
        <w:t>trice</w:t>
      </w:r>
      <w:proofErr w:type="spellEnd"/>
      <w:r>
        <w:rPr>
          <w:rFonts w:ascii="Times-Roman" w:hAnsi="Times-Roman" w:cs="Times-Roman"/>
          <w:sz w:val="24"/>
          <w:szCs w:val="24"/>
        </w:rPr>
        <w:t>) et directeur(</w:t>
      </w:r>
      <w:proofErr w:type="spellStart"/>
      <w:r>
        <w:rPr>
          <w:rFonts w:ascii="Times-Roman" w:hAnsi="Times-Roman" w:cs="Times-Roman"/>
          <w:sz w:val="24"/>
          <w:szCs w:val="24"/>
        </w:rPr>
        <w:t>trice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) de formations au BAFA. </w:t>
      </w:r>
      <w:proofErr w:type="gramStart"/>
      <w:r>
        <w:rPr>
          <w:rFonts w:ascii="Times-Roman" w:hAnsi="Times-Roman" w:cs="Times-Roman"/>
          <w:sz w:val="24"/>
          <w:szCs w:val="24"/>
        </w:rPr>
        <w:t>et</w:t>
      </w:r>
      <w:proofErr w:type="gramEnd"/>
      <w:r w:rsidR="002F6B1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témoigner de Connaissances dans les champs pédagogique et éducatif.</w:t>
      </w:r>
    </w:p>
    <w:p w14:paraId="13809E5F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Maîtriser parfaitement l’outil informatique et les outils numériques en général.</w:t>
      </w:r>
    </w:p>
    <w:p w14:paraId="48485337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Avoir la connaissance des spécificités du public jeune.</w:t>
      </w:r>
    </w:p>
    <w:p w14:paraId="19AD415F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Il(elle) devra avoir des capacités d’adaptation et avoir une capacité d’initiative.</w:t>
      </w:r>
    </w:p>
    <w:p w14:paraId="26B18B91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Avoir le sens des responsabilités, du contact et de l’organisation.</w:t>
      </w:r>
    </w:p>
    <w:p w14:paraId="3EDC2C99" w14:textId="5A0F220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Avoir une Maîtrise confirmée de la méthodologie de projet et du savoir-faire pédagogique</w:t>
      </w:r>
      <w:r w:rsidR="002F6B1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afférent.</w:t>
      </w:r>
    </w:p>
    <w:p w14:paraId="1FA7B0B1" w14:textId="7D5B5E7F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Avoir des connaissances de bases </w:t>
      </w:r>
      <w:r w:rsidR="00E46EA3">
        <w:rPr>
          <w:rFonts w:ascii="Times-Roman" w:hAnsi="Times-Roman" w:cs="Times-Roman"/>
          <w:sz w:val="24"/>
          <w:szCs w:val="24"/>
        </w:rPr>
        <w:t>en termes de</w:t>
      </w:r>
      <w:r>
        <w:rPr>
          <w:rFonts w:ascii="Times-Roman" w:hAnsi="Times-Roman" w:cs="Times-Roman"/>
          <w:sz w:val="24"/>
          <w:szCs w:val="24"/>
        </w:rPr>
        <w:t xml:space="preserve"> gestion d’un budget.</w:t>
      </w:r>
    </w:p>
    <w:p w14:paraId="6B57A651" w14:textId="44A45001" w:rsidR="003518AF" w:rsidRDefault="0039551C" w:rsidP="0039551C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Avoir un très bon relationnel : capacité d'écoute, d'adaptation aux publics et aux partenaires.</w:t>
      </w:r>
    </w:p>
    <w:p w14:paraId="4FB65943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</w:p>
    <w:p w14:paraId="75C6F3FC" w14:textId="0D2B4302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Diplômes ou formations demandés :</w:t>
      </w:r>
    </w:p>
    <w:p w14:paraId="6C8B0341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Brevet d’aptitude aux Fonctions d’animateur de centre de loisirs</w:t>
      </w:r>
    </w:p>
    <w:p w14:paraId="2C08C66E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Brevet d’aptitude aux Fonctions de directeur de centre de loisirs</w:t>
      </w:r>
    </w:p>
    <w:p w14:paraId="160466D6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BEATEP, BPJEP, DUT, ou DEJEPS</w:t>
      </w:r>
    </w:p>
    <w:p w14:paraId="41E9EEA4" w14:textId="11993B5D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Permis B</w:t>
      </w:r>
    </w:p>
    <w:p w14:paraId="3E8729F0" w14:textId="77777777" w:rsidR="002F6B15" w:rsidRDefault="002F6B15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56F33F2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</w:p>
    <w:p w14:paraId="708A4EAE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</w:p>
    <w:p w14:paraId="6BE9C04F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</w:p>
    <w:p w14:paraId="2E04E754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</w:p>
    <w:p w14:paraId="4674EDAF" w14:textId="018387FF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Missions :</w:t>
      </w:r>
    </w:p>
    <w:p w14:paraId="0ECF1FD4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L’animateur(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trice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) est amené(e) à intervenir dans plusieurs secteurs d’activités :</w:t>
      </w:r>
    </w:p>
    <w:p w14:paraId="3B04C5E8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Interventions/médiations établissements scolaires</w:t>
      </w:r>
    </w:p>
    <w:p w14:paraId="6B08E13E" w14:textId="452B3F2A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Vous êtes amené(e) à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co-construire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, être force de proposition et animer des interventions</w:t>
      </w:r>
      <w:r w:rsidR="002F6B15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auprès des collégiens au sein des collèges dans différents domaines qui peuvent être liés à</w:t>
      </w:r>
      <w:r w:rsidR="002F6B15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l’éducation, les médias, le numérique, la santé ou la citoyenneté.</w:t>
      </w:r>
    </w:p>
    <w:p w14:paraId="27230062" w14:textId="68FB77E1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Définir et accompagner la mise en œuvre des missions du conseillé numérique </w:t>
      </w:r>
    </w:p>
    <w:p w14:paraId="34450FEE" w14:textId="77777777" w:rsidR="002F6B15" w:rsidRDefault="002F6B15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EB602DB" w14:textId="567E4509" w:rsidR="0039551C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1</w:t>
      </w:r>
      <w:r w:rsidR="0039551C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/3 lieu,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numérique</w:t>
      </w:r>
    </w:p>
    <w:p w14:paraId="6C5FCCC2" w14:textId="558D792E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Vous êtes référent(e) et responsable de la mise en </w:t>
      </w:r>
      <w:r w:rsidR="007D46C9">
        <w:rPr>
          <w:rFonts w:ascii="Times-Roman" w:hAnsi="Times-Roman" w:cs="Times-Roman"/>
          <w:color w:val="000000"/>
          <w:sz w:val="24"/>
          <w:szCs w:val="24"/>
        </w:rPr>
        <w:t>œuvre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et la conduite des missions liées aux</w:t>
      </w:r>
      <w:r w:rsidR="007D46C9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labellisations E.P.N. et 1/3 lieux.</w:t>
      </w:r>
    </w:p>
    <w:p w14:paraId="655D04FF" w14:textId="77777777" w:rsidR="002F6B15" w:rsidRDefault="002F6B15" w:rsidP="0039551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14:paraId="323F28D6" w14:textId="5880EEFB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Formations</w:t>
      </w:r>
    </w:p>
    <w:p w14:paraId="0F4745E5" w14:textId="3ADD3B9E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Vous êtes amenée à élaborer et mettre en </w:t>
      </w:r>
      <w:r w:rsidR="007D46C9">
        <w:rPr>
          <w:rFonts w:ascii="Times-Roman" w:hAnsi="Times-Roman" w:cs="Times-Roman"/>
          <w:color w:val="000000"/>
          <w:sz w:val="24"/>
          <w:szCs w:val="24"/>
        </w:rPr>
        <w:t>œuvre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les formations BAFA mises en place en</w:t>
      </w:r>
      <w:r w:rsidR="007D46C9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partenariat avec le CFAG au sein de la structure.</w:t>
      </w:r>
    </w:p>
    <w:p w14:paraId="0CBC1E2D" w14:textId="71D0148C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Vous aurez à élaborer et mener des formations et médiations numériques en direction de</w:t>
      </w:r>
      <w:r w:rsidR="007D46C9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différents publics (séniors, bénéficiaires RSA, demandeurs d’emploi, jeunes,)</w:t>
      </w:r>
    </w:p>
    <w:p w14:paraId="1A65AE19" w14:textId="40974DDD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Vous êtes amené(e) à élaborer et mettre en </w:t>
      </w:r>
      <w:r w:rsidR="007D46C9">
        <w:rPr>
          <w:rFonts w:ascii="Times-Roman" w:hAnsi="Times-Roman" w:cs="Times-Roman"/>
          <w:color w:val="000000"/>
          <w:sz w:val="24"/>
          <w:szCs w:val="24"/>
        </w:rPr>
        <w:t>œuvre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des formations en direction du monde</w:t>
      </w:r>
      <w:r w:rsidR="007D46C9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associatif, et des différents partenaires du territoire en fonction des besoins repérés.</w:t>
      </w:r>
    </w:p>
    <w:p w14:paraId="0269988D" w14:textId="536E9826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 communication interne et externe est une composante inhérente de l’ensemble de ces</w:t>
      </w:r>
      <w:r w:rsidR="007D46C9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missions qu’il sera important de ne pas omettre.</w:t>
      </w:r>
    </w:p>
    <w:p w14:paraId="24D5C5C3" w14:textId="0BDACB28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L’ensemble de ces missions est mis </w:t>
      </w:r>
      <w:r w:rsidR="007D46C9">
        <w:rPr>
          <w:rFonts w:ascii="Times-Roman" w:hAnsi="Times-Roman" w:cs="Times-Roman"/>
          <w:color w:val="000000"/>
          <w:sz w:val="24"/>
          <w:szCs w:val="24"/>
        </w:rPr>
        <w:t>en œuvre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en lien et sous la responsabilité hiérarchique du</w:t>
      </w:r>
      <w:r w:rsidR="007D46C9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directeur de la structure qui en validera les objectifs et les moyens envisagés pour sa</w:t>
      </w:r>
      <w:r w:rsidR="007D46C9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réalisation.</w:t>
      </w:r>
    </w:p>
    <w:p w14:paraId="01EF36C8" w14:textId="77777777" w:rsidR="007D46C9" w:rsidRDefault="007D46C9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</w:p>
    <w:p w14:paraId="38109FA2" w14:textId="63B06A69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Candidature :</w:t>
      </w:r>
    </w:p>
    <w:p w14:paraId="70C8E2DD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CV et lettre de motivation à adresser à Monsieur le directeur</w:t>
      </w:r>
    </w:p>
    <w:p w14:paraId="65B43065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M.J.C. du Pays de l’Herbasse</w:t>
      </w:r>
    </w:p>
    <w:p w14:paraId="4CB17320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1242 avenue du général de Gaulle</w:t>
      </w:r>
    </w:p>
    <w:p w14:paraId="4E9A63B2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26260 Saint-Donat sur Herbasse</w:t>
      </w:r>
    </w:p>
    <w:p w14:paraId="13EF9209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FF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@ : </w:t>
      </w:r>
      <w:r>
        <w:rPr>
          <w:rFonts w:ascii="Times-Roman" w:hAnsi="Times-Roman" w:cs="Times-Roman"/>
          <w:color w:val="0000FF"/>
          <w:sz w:val="24"/>
          <w:szCs w:val="24"/>
        </w:rPr>
        <w:t>mjc.stdonat@mjc-herbasse.fr</w:t>
      </w:r>
    </w:p>
    <w:p w14:paraId="68C22C19" w14:textId="77777777" w:rsidR="0039551C" w:rsidRDefault="0039551C" w:rsidP="003955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Tl :04.75.45.12.36</w:t>
      </w:r>
    </w:p>
    <w:p w14:paraId="5900436B" w14:textId="75F3A825" w:rsidR="0039551C" w:rsidRPr="0039551C" w:rsidRDefault="0039551C" w:rsidP="0039551C"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Prise de poste </w:t>
      </w:r>
      <w:r w:rsidR="007D46C9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immédiate </w:t>
      </w:r>
    </w:p>
    <w:sectPr w:rsidR="0039551C" w:rsidRPr="0039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1C"/>
    <w:rsid w:val="002F6B15"/>
    <w:rsid w:val="003518AF"/>
    <w:rsid w:val="0039551C"/>
    <w:rsid w:val="007D46C9"/>
    <w:rsid w:val="00E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9663"/>
  <w15:chartTrackingRefBased/>
  <w15:docId w15:val="{42ABC555-CBCC-4C67-8BB3-DCE750BA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BORDAZ</dc:creator>
  <cp:keywords/>
  <dc:description/>
  <cp:lastModifiedBy>Eric BORDAZ</cp:lastModifiedBy>
  <cp:revision>1</cp:revision>
  <dcterms:created xsi:type="dcterms:W3CDTF">2021-08-18T14:46:00Z</dcterms:created>
  <dcterms:modified xsi:type="dcterms:W3CDTF">2021-08-18T15:41:00Z</dcterms:modified>
</cp:coreProperties>
</file>